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A519" w14:textId="77777777" w:rsidR="00524901" w:rsidRDefault="00524901" w:rsidP="00524901">
      <w:pPr>
        <w:widowControl/>
        <w:wordWrap w:val="0"/>
        <w:spacing w:line="580" w:lineRule="exact"/>
        <w:rPr>
          <w:rFonts w:cs="Calibri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 w14:paraId="51C380EE" w14:textId="77777777" w:rsidR="00524901" w:rsidRDefault="00524901" w:rsidP="00524901">
      <w:pPr>
        <w:widowControl/>
        <w:wordWrap w:val="0"/>
        <w:spacing w:line="580" w:lineRule="exact"/>
        <w:jc w:val="right"/>
        <w:rPr>
          <w:rFonts w:cs="Calibri"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14:paraId="543603ED" w14:textId="77777777" w:rsidR="00524901" w:rsidRDefault="00524901" w:rsidP="00524901">
      <w:pPr>
        <w:widowControl/>
        <w:wordWrap w:val="0"/>
        <w:spacing w:line="580" w:lineRule="exact"/>
        <w:jc w:val="center"/>
        <w:rPr>
          <w:rFonts w:cs="Calibri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拟推荐社会组织简要事迹</w:t>
      </w:r>
    </w:p>
    <w:p w14:paraId="3741704B" w14:textId="77777777" w:rsidR="00524901" w:rsidRDefault="00524901" w:rsidP="00524901">
      <w:pPr>
        <w:widowControl/>
        <w:wordWrap w:val="0"/>
        <w:spacing w:line="580" w:lineRule="exact"/>
        <w:jc w:val="center"/>
        <w:rPr>
          <w:rFonts w:cs="Calibri"/>
          <w:color w:val="00000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14:paraId="647DB4E0" w14:textId="77777777" w:rsidR="00524901" w:rsidRDefault="00524901" w:rsidP="00524901">
      <w:pPr>
        <w:widowControl/>
        <w:numPr>
          <w:ilvl w:val="0"/>
          <w:numId w:val="1"/>
        </w:numPr>
        <w:wordWrap w:val="0"/>
        <w:spacing w:line="58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福建省慈善总会</w:t>
      </w:r>
    </w:p>
    <w:p w14:paraId="4590E817" w14:textId="77777777" w:rsidR="00524901" w:rsidRDefault="00524901" w:rsidP="00524901">
      <w:pPr>
        <w:spacing w:line="560" w:lineRule="exact"/>
        <w:ind w:firstLine="640"/>
        <w:jc w:val="left"/>
        <w:rPr>
          <w:rFonts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立23年来，省慈善总会在省委、省政府的关心支持下，坚持慈善为民根本宗旨，广泛动员社会各界爱心力量，多方筹措慈善款物，实施慈善项目，开展慈善活动，在巩固拓展脱贫攻坚成果、扶危济困、扶老助幼、扶智助学、扶病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等多个领域成效显著。一是善款募集成绩斐然。</w:t>
      </w:r>
      <w:r>
        <w:rPr>
          <w:rFonts w:ascii="仿宋" w:eastAsia="仿宋" w:hAnsi="仿宋" w:hint="eastAsia"/>
          <w:sz w:val="32"/>
          <w:szCs w:val="32"/>
        </w:rPr>
        <w:t>不断强化全员募集机制，采取项目捐、定向捐、冠名捐、设立慈善基金等多种形式，广泛动员更多的爱心组织、爱心企业、爱心人士支持慈善事业发展。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据不完全统计，截至目前该会募集款物达45.9亿元。</w:t>
      </w:r>
      <w:r>
        <w:rPr>
          <w:rFonts w:ascii="仿宋" w:eastAsia="仿宋" w:hAnsi="仿宋" w:cs="仿宋" w:hint="eastAsia"/>
          <w:sz w:val="32"/>
          <w:szCs w:val="32"/>
        </w:rPr>
        <w:t xml:space="preserve">二是推动慈善网络建设。目前，9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设区市及平潭综合实验区和 83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县（市、区）均已成立慈善总会，实现县级慈善总会组织网络全覆盖。三是开展多元慈善项目。</w:t>
      </w:r>
      <w:r>
        <w:rPr>
          <w:rFonts w:ascii="仿宋" w:eastAsia="仿宋" w:hAnsi="仿宋" w:hint="eastAsia"/>
          <w:sz w:val="32"/>
          <w:szCs w:val="32"/>
        </w:rPr>
        <w:t>持续推进慈善工作项目化、项目工作规范化、管理质量品牌化建设，共支出44.52亿元，持续开展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“幸福家园”工程、“心动八闽”、“慈善健康进乡村”、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“助孤上高中”、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“微笑列车”、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“慈善幸福院”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等一系列惠民生、暖民心、解民忧慈善品牌项目。</w:t>
      </w:r>
      <w:r>
        <w:rPr>
          <w:rFonts w:ascii="仿宋" w:eastAsia="仿宋" w:hAnsi="仿宋" w:cs="仿宋" w:hint="eastAsia"/>
          <w:sz w:val="32"/>
          <w:szCs w:val="32"/>
        </w:rPr>
        <w:t>四是推动慈善文化建设。自2018年起，在“中华慈善日”期间，与省民政厅联合举办“善行八闽——公益慈善项目大赛”，目前已成功举办六届，成为展现我省慈善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发展成果、催生现代慈善理念、推动慈善事业创新、促进慈善资源对接的重要平台。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获评5A等级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14:paraId="632497B7" w14:textId="77777777" w:rsidR="00524901" w:rsidRDefault="00524901" w:rsidP="00524901">
      <w:pPr>
        <w:widowControl/>
        <w:numPr>
          <w:ilvl w:val="0"/>
          <w:numId w:val="1"/>
        </w:numPr>
        <w:wordWrap w:val="0"/>
        <w:spacing w:line="58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福建省兴业证券慈善基金会</w:t>
      </w:r>
    </w:p>
    <w:p w14:paraId="0DDD2DC3" w14:textId="77777777" w:rsidR="00524901" w:rsidRDefault="00524901" w:rsidP="00524901">
      <w:pPr>
        <w:pStyle w:val="TOC1"/>
        <w:spacing w:line="58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该基金会已开展各类公益项目近900个，遍及全国31个省市自治区，累计捐赠近3亿元。在促进教育方面，打造“兴未来”“兴视野”“兴青年”系列公益品牌，通过关爱留守（流动）儿童成长、创设阅读和研究性学习、组织高校青年社会实践等方式助力教育公平，惠及乡村和欠发达地区10多万名青少年。在服务脱贫攻坚方面，落地扶贫项目191个，投入扶贫资金1.13亿元，推动12个国家级贫困县和4个福建省老区苏区县脱贫摘帽。在支持乡村振兴方面，深度参与证券行业促进乡村振兴公益行动，持续深耕闽宁闽藏东西部协作，在福建省内外10余个帮扶县区实施乡村振兴项目近200个，累计投入乡村振兴资金约6000万元。在探索金融赋能公益方面，借助捐赠人兴业证券专业特色和优势资源，大力发展青少年财经素养教育，落地全国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首单闽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宁协作“公益+保险+期货”项目、福建省首单“碳汇+公益”乡村振兴创新项目，设立福建省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内首单乡村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振兴主题慈善信托。同时积极开展赈灾救灾项目超过30个，捐赠资金约2200万元。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已9年获FTI中基透明指数满分。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获评5A等级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14:paraId="793142FD" w14:textId="77777777" w:rsidR="00524901" w:rsidRDefault="00524901" w:rsidP="00524901">
      <w:pPr>
        <w:widowControl/>
        <w:numPr>
          <w:ilvl w:val="0"/>
          <w:numId w:val="1"/>
        </w:numPr>
        <w:wordWrap w:val="0"/>
        <w:spacing w:line="580" w:lineRule="exact"/>
        <w:ind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福建省建筑业协会</w:t>
      </w:r>
    </w:p>
    <w:p w14:paraId="71E3EA1B" w14:textId="77777777" w:rsidR="00524901" w:rsidRDefault="00524901" w:rsidP="00524901">
      <w:pPr>
        <w:pStyle w:val="TOC1"/>
        <w:spacing w:line="5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该协会现有17个分支机构，服务超1900家会员企业。协会坚持以强化自身建设为抓手，着力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构建全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产业链的服务网络和数字化服务平台，助力闽籍建筑企业“走出去”。先后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举办福建省建筑业创新发展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暨创新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成果展示交流会及供应链发展、科技质量等学术交流活动，连续4年编撰《福建省建筑业发展报告》，深度剖析行业发展脉络，助力企业转型升级。2020年以来协会助力企业累计获得鲁班奖21项、国家优质工程奖48项。强化省内工程质量建设，评定省级工法315项，编撰省级工法选编及创国优精品工程案例，推动先进技术与经验的推广应用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连续2次获评5A等级。</w:t>
      </w:r>
    </w:p>
    <w:p w14:paraId="4F98F3EF" w14:textId="77777777" w:rsidR="00524901" w:rsidRDefault="00524901" w:rsidP="00524901">
      <w:pPr>
        <w:widowControl/>
        <w:numPr>
          <w:ilvl w:val="0"/>
          <w:numId w:val="1"/>
        </w:numPr>
        <w:wordWrap w:val="0"/>
        <w:spacing w:line="580" w:lineRule="exact"/>
        <w:ind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福州市社会工作联合会</w:t>
      </w:r>
    </w:p>
    <w:p w14:paraId="39D307D8" w14:textId="77777777" w:rsidR="00524901" w:rsidRDefault="00524901" w:rsidP="00524901">
      <w:pPr>
        <w:pStyle w:val="TOC1"/>
        <w:spacing w:line="58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会推动出台《福建省乡镇(街道)社会工作服务站规范化建设评估指引(试行)》；推动《社会工作督导规范》《社会工作督导者资质要求》两项行业标准出台；执行2021-2025年度累计108个福州市城乡社区“五社联动”试点（示范）项目评估，抓好社工机构项目管理的规范化及专业提升；初步形成具有福州特色的“五社联动”模式，开展“五社联动”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推基层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治理福州模式经验交流研讨会；运营2022-2024年度福州市社会工作指导中心推进全市社工站建设，累计走访全市173个乡镇社工站418次，编写《基层社工站社会救助政策50问》《福州市乡镇（街道）社工站示范点汇编》；通过社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周主题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宣传等形式加大社会工作宣传力度，先后获中国社会报、福建新闻网、福建日报等主流媒体报道32次，形成优秀案例（项目）汇编4本，拍摄社会工作公益宣传片《“五社联动” 助力社区治理跑出“加速度”》，展示全市社会工作发展成效；在福州市8家社会工作服务机构开展行业诚信建设试点，推进行业自律规范；注重社会工作专业人才培养、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助力社会工作高质量发展，累计开展87场社会工作培训，参与人次达3918人次，参训对象涵盖全市139家社工机构负责人、项目主管等；连续3年组织高级社工师答辩辅导、理论讲解等考试陪伴服务，2024年度全市5位参评高级社工师有3位通过评审，通过率达60%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获评5A等级。</w:t>
      </w:r>
    </w:p>
    <w:p w14:paraId="6FE0B226" w14:textId="77777777" w:rsidR="00524901" w:rsidRDefault="00524901" w:rsidP="00524901">
      <w:pPr>
        <w:widowControl/>
        <w:numPr>
          <w:ilvl w:val="0"/>
          <w:numId w:val="1"/>
        </w:numPr>
        <w:wordWrap w:val="0"/>
        <w:spacing w:line="580" w:lineRule="exact"/>
        <w:ind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厦门市慈善总会</w:t>
      </w:r>
    </w:p>
    <w:p w14:paraId="1A1F3CFD" w14:textId="77777777" w:rsidR="00524901" w:rsidRDefault="00524901" w:rsidP="00524901">
      <w:pPr>
        <w:pStyle w:val="TOC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2024年12月，该会第四届理事会累计筹募善款及物资14.78亿元，发放救助资金15.26亿元，惠及困难群众12.46万人次。一是多元募捐强根基。通过设立冠名基金34支、“中华慈善日”募捐、“互联网+慈善”等方式，构建全民参与募捐体系；设立退役军人、儿童、老年人等专项基金，精准对接社会需求。二是精准帮扶惠民生。品牌项目成效显著。“新春慈善快车”发放资金4532万元、惠及5.7万人次；助学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孤项目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放9425万元、帮扶2.7万人次；药品援助项目发放价值8.42亿元药品。创新开展“流动青少年宫”“爱心食物银行”项目，分获省级公益奖项。三是党建引领优服务。创新“党建+公益”模式，建立12项监督机制确保善款透明使用。严格信息公开，优化审批流程，提升服务效能，打造公信力强的慈善组织。积极参与疫情防控、脱贫攻坚、乡村振兴等，支援武汉、河南及西部多地，彰显新时代慈善组织的责任担当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获评5A等级。</w:t>
      </w:r>
    </w:p>
    <w:p w14:paraId="3B738004" w14:textId="77777777" w:rsidR="00524901" w:rsidRDefault="00524901" w:rsidP="00524901">
      <w:pPr>
        <w:widowControl/>
        <w:numPr>
          <w:ilvl w:val="0"/>
          <w:numId w:val="1"/>
        </w:numPr>
        <w:wordWrap w:val="0"/>
        <w:spacing w:line="58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晋江市慈善总会</w:t>
      </w:r>
    </w:p>
    <w:p w14:paraId="5902E594" w14:textId="77777777" w:rsidR="00524901" w:rsidRDefault="00524901" w:rsidP="00524901">
      <w:pPr>
        <w:pStyle w:val="TOC1"/>
        <w:spacing w:line="58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该会以推动慈善制度改革创新、发展富有晋江特色的现代慈善事业为己任，始终坚持“党政领导、乡贤主导、社会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监督”的社团定位，积极促进政府、企业和社会三方互动，不断完善慈善资金募集、使用、运作、审计、公示等核心制度，具有很高的透明度和公信力。创立 23 年来，逐步建立一套灵活规范的慈善募捐制度，包括日常募捐、定向捐赠、冠名基金、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留本捐息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等以企业家为主的募捐项目，以及“慈善一元捐”、重大突发性灾难紧急募捐等面向全社会的捐赠方式。截至 2025 年2月底，善款募集总额超 50 亿元，累计善款支出近 34 亿元，定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向善款助力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晋江市文教卫生、老年人福利、公共环境、乡村振兴、关爱孤独症等公益慈善领域，并实施包括解困救急、征迁助困、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襄教助学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恤病助残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、敬老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助孤等慈善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工程项目惠及22 万困难群众。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获评5A等级。</w:t>
      </w:r>
    </w:p>
    <w:p w14:paraId="5F2E4D95" w14:textId="77777777" w:rsidR="00524901" w:rsidRDefault="00524901" w:rsidP="00524901">
      <w:pPr>
        <w:widowControl/>
        <w:numPr>
          <w:ilvl w:val="0"/>
          <w:numId w:val="1"/>
        </w:numPr>
        <w:wordWrap w:val="0"/>
        <w:spacing w:line="580" w:lineRule="exact"/>
        <w:ind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邵武市春暖社会工作服务中心</w:t>
      </w:r>
    </w:p>
    <w:p w14:paraId="0E633FC6" w14:textId="77777777" w:rsidR="00524901" w:rsidRDefault="00524901" w:rsidP="00524901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该中心打造“五社联动”品牌，探索欠发达地区社会组织参与基层治理创新模式，为乡村振兴提供样本，累计服务超10万人次。一是党建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引领强根基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。成立党支部后组建党员先锋队，通过“党建引领+专业社工+志愿服务”模式，培育 28 支社区志愿队伍。在疫情防控、文明创建等重大任务中开展专项服务 1.2万余人次，获邵武市“先进基层党组织”等荣誉，实现党建与专业服务的有机融合。二是专业深耕显成效。从 2018 年起持续7年扎根邵武市龙斗村，开展“五社联动”助力基层治理和乡村振兴服务，精准对接乡村发展痛点问题，培育社区社会组织，开展乡村生态环境整治引导果蔬种植专业户抱团发展，组建产业发展协会、农业专业合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社，指导建设杨梅、萝卜绿色食品生产基地，龙斗杨梅、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萝卜获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“绿标”认证，帮助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链接线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上线下农产品销售市场资源，推动龙斗村土特产走进万家。在该中心助力下龙斗村获评全国乡村治理示范村、福建省乡村振兴示范村，该中心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链接社会慈善资源培育乡村社会组织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助力龙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斗村基层治理案例入选“福建省社会治理创新50例”</w:t>
      </w:r>
      <w:r>
        <w:rPr>
          <w:rFonts w:ascii="仿宋_GB2312" w:eastAsia="仿宋_GB2312" w:hAnsi="仿宋_GB2312" w:cs="仿宋_GB2312" w:hint="eastAsia"/>
          <w:sz w:val="32"/>
          <w:szCs w:val="32"/>
        </w:rPr>
        <w:t>。三是示范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引领树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标杆。相关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案例获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评“中国社会组织扶贫案例50佳”等；该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中心实施助力基层治理和乡村振兴特色活动和优秀案例多次在</w:t>
      </w:r>
      <w:r>
        <w:rPr>
          <w:rFonts w:ascii="仿宋_GB2312" w:eastAsia="仿宋_GB2312" w:hAnsi="仿宋_GB2312" w:cs="仿宋_GB2312" w:hint="eastAsia"/>
          <w:sz w:val="32"/>
          <w:szCs w:val="32"/>
        </w:rPr>
        <w:t>《人民日报》、民政部官网、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福建日报</w:t>
      </w:r>
      <w:r>
        <w:rPr>
          <w:rFonts w:ascii="仿宋_GB2312" w:eastAsia="仿宋_GB2312" w:hAnsi="仿宋_GB2312" w:cs="仿宋_GB2312" w:hint="eastAsia"/>
          <w:sz w:val="32"/>
          <w:szCs w:val="32"/>
        </w:rPr>
        <w:t>等媒体报道，形成“专业实践-成果转化-社会推广”良性循环。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获评5A等级。</w:t>
      </w:r>
    </w:p>
    <w:p w14:paraId="4A960599" w14:textId="77777777" w:rsidR="001F173D" w:rsidRDefault="001F173D">
      <w:pPr>
        <w:rPr>
          <w:rFonts w:hint="eastAsia"/>
        </w:rPr>
      </w:pPr>
    </w:p>
    <w:sectPr w:rsidR="001F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B901" w14:textId="77777777" w:rsidR="00396CE6" w:rsidRDefault="00396CE6" w:rsidP="00524901">
      <w:pPr>
        <w:rPr>
          <w:rFonts w:hint="eastAsia"/>
        </w:rPr>
      </w:pPr>
      <w:r>
        <w:separator/>
      </w:r>
    </w:p>
  </w:endnote>
  <w:endnote w:type="continuationSeparator" w:id="0">
    <w:p w14:paraId="4B8D8BEE" w14:textId="77777777" w:rsidR="00396CE6" w:rsidRDefault="00396CE6" w:rsidP="005249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2964" w14:textId="77777777" w:rsidR="00396CE6" w:rsidRDefault="00396CE6" w:rsidP="00524901">
      <w:pPr>
        <w:rPr>
          <w:rFonts w:hint="eastAsia"/>
        </w:rPr>
      </w:pPr>
      <w:r>
        <w:separator/>
      </w:r>
    </w:p>
  </w:footnote>
  <w:footnote w:type="continuationSeparator" w:id="0">
    <w:p w14:paraId="7C205CB5" w14:textId="77777777" w:rsidR="00396CE6" w:rsidRDefault="00396CE6" w:rsidP="005249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09D76"/>
    <w:multiLevelType w:val="singleLevel"/>
    <w:tmpl w:val="4A509D76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 w16cid:durableId="119180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23"/>
    <w:rsid w:val="00000C84"/>
    <w:rsid w:val="001F173D"/>
    <w:rsid w:val="00396CE6"/>
    <w:rsid w:val="00524901"/>
    <w:rsid w:val="0060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9355B1-3E1D-4EE5-BDC0-DE364ACE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52490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4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4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4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4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4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4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4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4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4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4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4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4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4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54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49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249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49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24901"/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52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2025-05-29T00:01:00Z</dcterms:created>
  <dcterms:modified xsi:type="dcterms:W3CDTF">2025-05-29T00:02:00Z</dcterms:modified>
</cp:coreProperties>
</file>